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2" w:name="processo-n.º-123424.5t8lsb"/>
    <w:p>
      <w:pPr>
        <w:pStyle w:val="Heading2"/>
      </w:pPr>
      <w:r>
        <w:t xml:space="preserve">Processo n.º 1234/24.5T8LSB</w:t>
      </w:r>
    </w:p>
    <w:p>
      <w:pPr>
        <w:pStyle w:val="FirstParagraph"/>
      </w:pPr>
      <w:r>
        <w:rPr>
          <w:b/>
          <w:bCs/>
        </w:rPr>
        <w:t xml:space="preserve">Vara Cível da Comarca de Lisboa</w:t>
      </w:r>
      <w:r>
        <w:br/>
      </w:r>
      <w:r>
        <w:rPr>
          <w:b/>
          <w:bCs/>
        </w:rPr>
        <w:t xml:space="preserve">Juiz de Direito:</w:t>
      </w:r>
      <w:r>
        <w:t xml:space="preserve"> </w:t>
      </w:r>
      <w:r>
        <w:t xml:space="preserve">Dr. Carlos Mendes</w:t>
      </w:r>
    </w:p>
    <w:bookmarkStart w:id="9" w:name="requerente"/>
    <w:p>
      <w:pPr>
        <w:pStyle w:val="Heading3"/>
      </w:pPr>
      <w:r>
        <w:t xml:space="preserve">Requerente</w:t>
      </w:r>
    </w:p>
    <w:p>
      <w:pPr>
        <w:pStyle w:val="FirstParagraph"/>
      </w:pPr>
      <w:r>
        <w:rPr>
          <w:b/>
          <w:bCs/>
        </w:rPr>
        <w:t xml:space="preserve">Empresa de Arrendamento Comercial, Lda.</w:t>
      </w:r>
      <w:r>
        <w:br/>
      </w:r>
      <w:r>
        <w:t xml:space="preserve">NIF: 502 123 456</w:t>
      </w:r>
      <w:r>
        <w:br/>
      </w:r>
      <w:r>
        <w:t xml:space="preserve">Morada: Avenida da Liberdade, n.º 215, 5.º Esq., 1250‑147 Lisboa</w:t>
      </w:r>
    </w:p>
    <w:bookmarkEnd w:id="9"/>
    <w:bookmarkStart w:id="10" w:name="réu"/>
    <w:p>
      <w:pPr>
        <w:pStyle w:val="Heading3"/>
      </w:pPr>
      <w:r>
        <w:t xml:space="preserve">Réu</w:t>
      </w:r>
    </w:p>
    <w:p>
      <w:pPr>
        <w:pStyle w:val="FirstParagraph"/>
      </w:pPr>
      <w:r>
        <w:rPr>
          <w:b/>
          <w:bCs/>
        </w:rPr>
        <w:t xml:space="preserve">Sr. João da Silva</w:t>
      </w:r>
      <w:r>
        <w:br/>
      </w:r>
      <w:r>
        <w:t xml:space="preserve">NIF: 225 987 654</w:t>
      </w:r>
      <w:r>
        <w:br/>
      </w:r>
      <w:r>
        <w:t xml:space="preserve">Morada: Rua da Prata, n.º 34, 1.º Dt., 1200‑442 Lisboa</w:t>
      </w:r>
    </w:p>
    <w:bookmarkEnd w:id="10"/>
    <w:bookmarkStart w:id="11" w:name="mandatários-do-requerente"/>
    <w:p>
      <w:pPr>
        <w:pStyle w:val="Heading3"/>
      </w:pPr>
      <w:r>
        <w:t xml:space="preserve">Mandatários do Requerente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Dr. Ana Martins</w:t>
      </w:r>
      <w:r>
        <w:t xml:space="preserve">, OAB/Portugal n.º 12345, com escritório na Rua de São Bento, n.º 78, 2.º A, 1200‑821 Lisboa.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Dr. Luís Pereira</w:t>
      </w:r>
      <w:r>
        <w:t xml:space="preserve">, OAB/Portugal n.º 67890, com escritório na Avenida da República, n.º 45, 3.º B, 1050‑158 Lisboa.</w:t>
      </w:r>
    </w:p>
    <w:p>
      <w:r>
        <w:pict>
          <v:rect style="width:0;height:1.5pt" o:hralign="center" o:hrstd="t" o:hr="t"/>
        </w:pict>
      </w:r>
    </w:p>
    <w:bookmarkEnd w:id="11"/>
    <w:bookmarkEnd w:id="12"/>
    <w:bookmarkStart w:id="20" w:name="X577e7f05cf47e4c6df24ec4cddb7d628a9e22ea"/>
    <w:p>
      <w:pPr>
        <w:pStyle w:val="Heading2"/>
      </w:pPr>
      <w:r>
        <w:rPr>
          <w:b/>
          <w:bCs/>
        </w:rPr>
        <w:t xml:space="preserve">PEDIDO DE APLICAÇÃO DE PENALIDADE POR ATRASO NO PAGAMENTO</w:t>
      </w:r>
    </w:p>
    <w:bookmarkStart w:id="13" w:name="i.-exposição-dos-factos"/>
    <w:p>
      <w:pPr>
        <w:pStyle w:val="Heading4"/>
      </w:pPr>
      <w:r>
        <w:rPr>
          <w:b/>
          <w:bCs/>
        </w:rPr>
        <w:t xml:space="preserve">I. Exposição dos Factos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Celebrado o contrato de arrendamento comercial</w:t>
      </w:r>
      <w:r>
        <w:t xml:space="preserve"> </w:t>
      </w:r>
      <w:r>
        <w:t xml:space="preserve">entre a Requerente e o Réu, com início a 1 de janeiro de 2022, tendo por objeto o estabelecimento comercial localizado na Rua da Prata, n.º 34, 1.º Dt., Lisboa, conforme o contrato de arrendamento comercial anexo (pág. 3).</w:t>
      </w:r>
    </w:p>
    <w:p>
      <w:pPr>
        <w:numPr>
          <w:ilvl w:val="0"/>
          <w:numId w:val="1002"/>
        </w:numPr>
      </w:pPr>
      <w:r>
        <w:t xml:space="preserve">O contrato prevê, em seu artigo 5.º, a obrigação do arrendatário de pagar a renda mensal, no valor de</w:t>
      </w:r>
      <w:r>
        <w:t xml:space="preserve"> </w:t>
      </w:r>
      <w:r>
        <w:rPr>
          <w:b/>
          <w:bCs/>
        </w:rPr>
        <w:t xml:space="preserve">€ 2 500,00 (dois mil e quinhentos euros)</w:t>
      </w:r>
      <w:r>
        <w:t xml:space="preserve">, até ao dia 5 de cada mês, mediante transferência bancária para a conta da Requerente (IBAN PT50 1234 5678 9012 3456 7890 123).</w:t>
      </w:r>
    </w:p>
    <w:p>
      <w:pPr>
        <w:numPr>
          <w:ilvl w:val="0"/>
          <w:numId w:val="1002"/>
        </w:numPr>
      </w:pPr>
      <w:r>
        <w:t xml:space="preserve">O Réu deixou de pagar as rendas referentes aos meses de</w:t>
      </w:r>
      <w:r>
        <w:t xml:space="preserve"> </w:t>
      </w:r>
      <w:r>
        <w:rPr>
          <w:b/>
          <w:bCs/>
        </w:rPr>
        <w:t xml:space="preserve">julho, agosto, setembro, outubro, novembro, dezembro de 2023 e janeiro, fevereiro de 2024</w:t>
      </w:r>
      <w:r>
        <w:t xml:space="preserve">, totalizando</w:t>
      </w:r>
      <w:r>
        <w:t xml:space="preserve"> </w:t>
      </w:r>
      <w:r>
        <w:rPr>
          <w:b/>
          <w:bCs/>
        </w:rPr>
        <w:t xml:space="preserve">oito (8) meses de incumprimento</w:t>
      </w:r>
      <w:r>
        <w:t xml:space="preserve">.</w:t>
      </w:r>
    </w:p>
    <w:p>
      <w:pPr>
        <w:numPr>
          <w:ilvl w:val="0"/>
          <w:numId w:val="1002"/>
        </w:numPr>
      </w:pPr>
      <w:r>
        <w:t xml:space="preserve">Em</w:t>
      </w:r>
      <w:r>
        <w:t xml:space="preserve"> </w:t>
      </w:r>
      <w:r>
        <w:rPr>
          <w:b/>
          <w:bCs/>
        </w:rPr>
        <w:t xml:space="preserve">15 de março de 2024</w:t>
      </w:r>
      <w:r>
        <w:t xml:space="preserve">, a Requerente notificou o Réu, por carta registada com aviso de receção, para que regularizasse a situação no prazo de</w:t>
      </w:r>
      <w:r>
        <w:t xml:space="preserve"> </w:t>
      </w:r>
      <w:r>
        <w:rPr>
          <w:b/>
          <w:bCs/>
        </w:rPr>
        <w:t xml:space="preserve">15 dias</w:t>
      </w:r>
      <w:r>
        <w:t xml:space="preserve">, sob pena de resolução do contrato e despejo, nos termos do artigo 1098.º do Código Civil e do artigo 2.º da Lei n.º 6/2006, de 27 de fevereiro (Regime Jurídico do Arrendamento Urbano).</w:t>
      </w:r>
    </w:p>
    <w:p>
      <w:pPr>
        <w:numPr>
          <w:ilvl w:val="0"/>
          <w:numId w:val="1002"/>
        </w:numPr>
      </w:pPr>
      <w:r>
        <w:t xml:space="preserve">Decorrido o prazo, o Réu não efetuou qualquer pagamento nem apresentou justificativa plausível, mantendo‑se em situação de mora.</w:t>
      </w:r>
    </w:p>
    <w:p>
      <w:pPr>
        <w:numPr>
          <w:ilvl w:val="0"/>
          <w:numId w:val="1002"/>
        </w:numPr>
      </w:pPr>
      <w:r>
        <w:t xml:space="preserve">Em</w:t>
      </w:r>
      <w:r>
        <w:t xml:space="preserve"> </w:t>
      </w:r>
      <w:r>
        <w:rPr>
          <w:b/>
          <w:bCs/>
        </w:rPr>
        <w:t xml:space="preserve">30 de março de 2024</w:t>
      </w:r>
      <w:r>
        <w:t xml:space="preserve">, a Requerente procedeu à</w:t>
      </w:r>
      <w:r>
        <w:t xml:space="preserve"> </w:t>
      </w:r>
      <w:r>
        <w:rPr>
          <w:b/>
          <w:bCs/>
        </w:rPr>
        <w:t xml:space="preserve">cobrança judicial</w:t>
      </w:r>
      <w:r>
        <w:t xml:space="preserve"> </w:t>
      </w:r>
      <w:r>
        <w:t xml:space="preserve">mediante a presente ação especial de despejo, requerendo, entre outros, a aplicação de</w:t>
      </w:r>
      <w:r>
        <w:t xml:space="preserve"> </w:t>
      </w:r>
      <w:r>
        <w:rPr>
          <w:b/>
          <w:bCs/>
        </w:rPr>
        <w:t xml:space="preserve">penalidade por atraso</w:t>
      </w:r>
      <w:r>
        <w:t xml:space="preserve"> </w:t>
      </w:r>
      <w:r>
        <w:t xml:space="preserve">nos pagamentos, conforme previsto no contrato e no artigo 1048.º do Código Civil.</w:t>
      </w:r>
    </w:p>
    <w:bookmarkEnd w:id="13"/>
    <w:bookmarkStart w:id="14" w:name="ii.-fundamento-jurídico"/>
    <w:p>
      <w:pPr>
        <w:pStyle w:val="Heading4"/>
      </w:pPr>
      <w:r>
        <w:rPr>
          <w:b/>
          <w:bCs/>
        </w:rPr>
        <w:t xml:space="preserve">II. Fundamento Jurídico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4337"/>
        <w:gridCol w:w="3582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Dispositivo Legal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Fundamentação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Art.º 1048.º do Código Civil</w:t>
            </w:r>
          </w:p>
        </w:tc>
        <w:tc>
          <w:tcPr/>
          <w:p>
            <w:pPr>
              <w:pStyle w:val="Compact"/>
            </w:pPr>
            <w:r>
              <w:t xml:space="preserve">Prevê a possibilidade de imposição de penalidade convencional quando o devedor não cumpre a obrigação no prazo acordado.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Art.º 1098.º do Código Civil</w:t>
            </w:r>
          </w:p>
        </w:tc>
        <w:tc>
          <w:tcPr/>
          <w:p>
            <w:pPr>
              <w:pStyle w:val="Compact"/>
            </w:pPr>
            <w:r>
              <w:t xml:space="preserve">Determina a caducidade do contrato de arrendamento comercial após três meses de falta de pagamento de rendas, salvo acordo em contrário.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Art.º 2.º da Lei n.º 6/2006</w:t>
            </w:r>
          </w:p>
        </w:tc>
        <w:tc>
          <w:tcPr/>
          <w:p>
            <w:pPr>
              <w:pStyle w:val="Compact"/>
            </w:pPr>
            <w:r>
              <w:t xml:space="preserve">Reforça o direito do senhorio à resolução do contrato e ao despejo do arrendatário em caso de incumprimento reiterado.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Art.º 562.º do Código de Processo Civil</w:t>
            </w:r>
          </w:p>
        </w:tc>
        <w:tc>
          <w:tcPr/>
          <w:p>
            <w:pPr>
              <w:pStyle w:val="Compact"/>
            </w:pPr>
            <w:r>
              <w:t xml:space="preserve">Autoriza o tribunal a fixar a penalidade por mora, bem como os juros de mora, quando a obrigação principal esteja vencida.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Cláusula 7.º do Contrato de Arrendamento</w:t>
            </w:r>
          </w:p>
        </w:tc>
        <w:tc>
          <w:tcPr/>
          <w:p>
            <w:pPr>
              <w:pStyle w:val="Compact"/>
            </w:pPr>
            <w:r>
              <w:t xml:space="preserve">Estabelece que, em caso de atraso no pagamento, incidirá uma penalidade de</w:t>
            </w:r>
            <w:r>
              <w:t xml:space="preserve"> </w:t>
            </w:r>
            <w:r>
              <w:rPr>
                <w:b/>
                <w:bCs/>
              </w:rPr>
              <w:t xml:space="preserve">2 % (dois por cento)</w:t>
            </w:r>
            <w:r>
              <w:t xml:space="preserve"> </w:t>
            </w:r>
            <w:r>
              <w:t xml:space="preserve">sobre o valor da renda em atraso, por cada mês completo de mora, além de juros de mora à taxa legal.</w:t>
            </w:r>
          </w:p>
        </w:tc>
      </w:tr>
    </w:tbl>
    <w:bookmarkEnd w:id="14"/>
    <w:bookmarkStart w:id="15" w:name="X5b2c3485bd8fde75e1129cdb0366803e4c0ee02"/>
    <w:p>
      <w:pPr>
        <w:pStyle w:val="Heading4"/>
      </w:pPr>
      <w:r>
        <w:rPr>
          <w:b/>
          <w:bCs/>
        </w:rPr>
        <w:t xml:space="preserve">III. Cálculo da Penalidade e dos Juros de Mora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280"/>
        <w:gridCol w:w="2080"/>
        <w:gridCol w:w="192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Mês de Mora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Renda em Dívida (€)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Penalidade 2 % (€)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Juros Legais (0,5 % ao mês)</w:t>
            </w:r>
          </w:p>
        </w:tc>
      </w:tr>
      <w:tr>
        <w:tc>
          <w:tcPr/>
          <w:p>
            <w:pPr>
              <w:pStyle w:val="Compact"/>
            </w:pPr>
            <w:r>
              <w:t xml:space="preserve">Julho/2023</w:t>
            </w:r>
          </w:p>
        </w:tc>
        <w:tc>
          <w:tcPr/>
          <w:p>
            <w:pPr>
              <w:pStyle w:val="Compact"/>
            </w:pPr>
            <w:r>
              <w:t xml:space="preserve">2 500,00</w:t>
            </w:r>
          </w:p>
        </w:tc>
        <w:tc>
          <w:tcPr/>
          <w:p>
            <w:pPr>
              <w:pStyle w:val="Compact"/>
            </w:pPr>
            <w:r>
              <w:t xml:space="preserve">50,00</w:t>
            </w:r>
          </w:p>
        </w:tc>
        <w:tc>
          <w:tcPr/>
          <w:p>
            <w:pPr>
              <w:pStyle w:val="Compact"/>
            </w:pPr>
            <w:r>
              <w:t xml:space="preserve">12,50</w:t>
            </w:r>
          </w:p>
        </w:tc>
      </w:tr>
      <w:tr>
        <w:tc>
          <w:tcPr/>
          <w:p>
            <w:pPr>
              <w:pStyle w:val="Compact"/>
            </w:pPr>
            <w:r>
              <w:t xml:space="preserve">Agosto/2023</w:t>
            </w:r>
          </w:p>
        </w:tc>
        <w:tc>
          <w:tcPr/>
          <w:p>
            <w:pPr>
              <w:pStyle w:val="Compact"/>
            </w:pPr>
            <w:r>
              <w:t xml:space="preserve">2 500,00</w:t>
            </w:r>
          </w:p>
        </w:tc>
        <w:tc>
          <w:tcPr/>
          <w:p>
            <w:pPr>
              <w:pStyle w:val="Compact"/>
            </w:pPr>
            <w:r>
              <w:t xml:space="preserve">50,00</w:t>
            </w:r>
          </w:p>
        </w:tc>
        <w:tc>
          <w:tcPr/>
          <w:p>
            <w:pPr>
              <w:pStyle w:val="Compact"/>
            </w:pPr>
            <w:r>
              <w:t xml:space="preserve">12,50</w:t>
            </w:r>
          </w:p>
        </w:tc>
      </w:tr>
      <w:tr>
        <w:tc>
          <w:tcPr/>
          <w:p>
            <w:pPr>
              <w:pStyle w:val="Compact"/>
            </w:pPr>
            <w:r>
              <w:t xml:space="preserve">Setembro/2023</w:t>
            </w:r>
          </w:p>
        </w:tc>
        <w:tc>
          <w:tcPr/>
          <w:p>
            <w:pPr>
              <w:pStyle w:val="Compact"/>
            </w:pPr>
            <w:r>
              <w:t xml:space="preserve">2 500,00</w:t>
            </w:r>
          </w:p>
        </w:tc>
        <w:tc>
          <w:tcPr/>
          <w:p>
            <w:pPr>
              <w:pStyle w:val="Compact"/>
            </w:pPr>
            <w:r>
              <w:t xml:space="preserve">50,00</w:t>
            </w:r>
          </w:p>
        </w:tc>
        <w:tc>
          <w:tcPr/>
          <w:p>
            <w:pPr>
              <w:pStyle w:val="Compact"/>
            </w:pPr>
            <w:r>
              <w:t xml:space="preserve">12,50</w:t>
            </w:r>
          </w:p>
        </w:tc>
      </w:tr>
      <w:tr>
        <w:tc>
          <w:tcPr/>
          <w:p>
            <w:pPr>
              <w:pStyle w:val="Compact"/>
            </w:pPr>
            <w:r>
              <w:t xml:space="preserve">Outubro/2023</w:t>
            </w:r>
          </w:p>
        </w:tc>
        <w:tc>
          <w:tcPr/>
          <w:p>
            <w:pPr>
              <w:pStyle w:val="Compact"/>
            </w:pPr>
            <w:r>
              <w:t xml:space="preserve">2 500,00</w:t>
            </w:r>
          </w:p>
        </w:tc>
        <w:tc>
          <w:tcPr/>
          <w:p>
            <w:pPr>
              <w:pStyle w:val="Compact"/>
            </w:pPr>
            <w:r>
              <w:t xml:space="preserve">50,00</w:t>
            </w:r>
          </w:p>
        </w:tc>
        <w:tc>
          <w:tcPr/>
          <w:p>
            <w:pPr>
              <w:pStyle w:val="Compact"/>
            </w:pPr>
            <w:r>
              <w:t xml:space="preserve">12,50</w:t>
            </w:r>
          </w:p>
        </w:tc>
      </w:tr>
      <w:tr>
        <w:tc>
          <w:tcPr/>
          <w:p>
            <w:pPr>
              <w:pStyle w:val="Compact"/>
            </w:pPr>
            <w:r>
              <w:t xml:space="preserve">Novembro/2023</w:t>
            </w:r>
          </w:p>
        </w:tc>
        <w:tc>
          <w:tcPr/>
          <w:p>
            <w:pPr>
              <w:pStyle w:val="Compact"/>
            </w:pPr>
            <w:r>
              <w:t xml:space="preserve">2 500,00</w:t>
            </w:r>
          </w:p>
        </w:tc>
        <w:tc>
          <w:tcPr/>
          <w:p>
            <w:pPr>
              <w:pStyle w:val="Compact"/>
            </w:pPr>
            <w:r>
              <w:t xml:space="preserve">50,00</w:t>
            </w:r>
          </w:p>
        </w:tc>
        <w:tc>
          <w:tcPr/>
          <w:p>
            <w:pPr>
              <w:pStyle w:val="Compact"/>
            </w:pPr>
            <w:r>
              <w:t xml:space="preserve">12,50</w:t>
            </w:r>
          </w:p>
        </w:tc>
      </w:tr>
      <w:tr>
        <w:tc>
          <w:tcPr/>
          <w:p>
            <w:pPr>
              <w:pStyle w:val="Compact"/>
            </w:pPr>
            <w:r>
              <w:t xml:space="preserve">Dezembro/2023</w:t>
            </w:r>
          </w:p>
        </w:tc>
        <w:tc>
          <w:tcPr/>
          <w:p>
            <w:pPr>
              <w:pStyle w:val="Compact"/>
            </w:pPr>
            <w:r>
              <w:t xml:space="preserve">2 500,00</w:t>
            </w:r>
          </w:p>
        </w:tc>
        <w:tc>
          <w:tcPr/>
          <w:p>
            <w:pPr>
              <w:pStyle w:val="Compact"/>
            </w:pPr>
            <w:r>
              <w:t xml:space="preserve">50,00</w:t>
            </w:r>
          </w:p>
        </w:tc>
        <w:tc>
          <w:tcPr/>
          <w:p>
            <w:pPr>
              <w:pStyle w:val="Compact"/>
            </w:pPr>
            <w:r>
              <w:t xml:space="preserve">12,50</w:t>
            </w:r>
          </w:p>
        </w:tc>
      </w:tr>
      <w:tr>
        <w:tc>
          <w:tcPr/>
          <w:p>
            <w:pPr>
              <w:pStyle w:val="Compact"/>
            </w:pPr>
            <w:r>
              <w:t xml:space="preserve">Janeiro/2024</w:t>
            </w:r>
          </w:p>
        </w:tc>
        <w:tc>
          <w:tcPr/>
          <w:p>
            <w:pPr>
              <w:pStyle w:val="Compact"/>
            </w:pPr>
            <w:r>
              <w:t xml:space="preserve">2 500,00</w:t>
            </w:r>
          </w:p>
        </w:tc>
        <w:tc>
          <w:tcPr/>
          <w:p>
            <w:pPr>
              <w:pStyle w:val="Compact"/>
            </w:pPr>
            <w:r>
              <w:t xml:space="preserve">50,00</w:t>
            </w:r>
          </w:p>
        </w:tc>
        <w:tc>
          <w:tcPr/>
          <w:p>
            <w:pPr>
              <w:pStyle w:val="Compact"/>
            </w:pPr>
            <w:r>
              <w:t xml:space="preserve">12,50</w:t>
            </w:r>
          </w:p>
        </w:tc>
      </w:tr>
      <w:tr>
        <w:tc>
          <w:tcPr/>
          <w:p>
            <w:pPr>
              <w:pStyle w:val="Compact"/>
            </w:pPr>
            <w:r>
              <w:t xml:space="preserve">Fevereiro/2024</w:t>
            </w:r>
          </w:p>
        </w:tc>
        <w:tc>
          <w:tcPr/>
          <w:p>
            <w:pPr>
              <w:pStyle w:val="Compact"/>
            </w:pPr>
            <w:r>
              <w:t xml:space="preserve">2 500,00</w:t>
            </w:r>
          </w:p>
        </w:tc>
        <w:tc>
          <w:tcPr/>
          <w:p>
            <w:pPr>
              <w:pStyle w:val="Compact"/>
            </w:pPr>
            <w:r>
              <w:t xml:space="preserve">50,00</w:t>
            </w:r>
          </w:p>
        </w:tc>
        <w:tc>
          <w:tcPr/>
          <w:p>
            <w:pPr>
              <w:pStyle w:val="Compact"/>
            </w:pPr>
            <w:r>
              <w:t xml:space="preserve">12,50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Total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20 000,00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400,00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100,00</w:t>
            </w:r>
          </w:p>
        </w:tc>
      </w:tr>
    </w:tbl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Valor total das rendas em dívida:</w:t>
      </w:r>
      <w:r>
        <w:t xml:space="preserve"> </w:t>
      </w:r>
      <w:r>
        <w:rPr>
          <w:b/>
          <w:bCs/>
        </w:rPr>
        <w:t xml:space="preserve">€ 20 000,00</w:t>
      </w:r>
      <w:r>
        <w:br/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Penalidade total (2 % por mês):</w:t>
      </w:r>
      <w:r>
        <w:t xml:space="preserve"> </w:t>
      </w:r>
      <w:r>
        <w:rPr>
          <w:b/>
          <w:bCs/>
        </w:rPr>
        <w:t xml:space="preserve">€ 400,00</w:t>
      </w:r>
      <w:r>
        <w:br/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Juros de mora (0,5 % ao mês, calculado até a data da presente petição, 22 de fevereiro de 2026):</w:t>
      </w:r>
      <w:r>
        <w:t xml:space="preserve"> </w:t>
      </w:r>
      <w:r>
        <w:rPr>
          <w:b/>
          <w:bCs/>
        </w:rPr>
        <w:t xml:space="preserve">€ 100,00</w:t>
      </w:r>
    </w:p>
    <w:p>
      <w:pPr>
        <w:pStyle w:val="FirstParagraph"/>
      </w:pPr>
      <w:r>
        <w:rPr>
          <w:b/>
          <w:bCs/>
        </w:rPr>
        <w:t xml:space="preserve">Montante global a cobrar:</w:t>
      </w:r>
      <w:r>
        <w:t xml:space="preserve"> </w:t>
      </w:r>
      <w:r>
        <w:rPr>
          <w:b/>
          <w:bCs/>
        </w:rPr>
        <w:t xml:space="preserve">€ 20 500,00</w:t>
      </w:r>
      <w:r>
        <w:t xml:space="preserve"> </w:t>
      </w:r>
      <w:r>
        <w:t xml:space="preserve">(rendas)</w:t>
      </w:r>
      <w:r>
        <w:t xml:space="preserve"> </w:t>
      </w:r>
      <w:r>
        <w:rPr>
          <w:b/>
          <w:bCs/>
        </w:rPr>
        <w:t xml:space="preserve">+ € 400,00</w:t>
      </w:r>
      <w:r>
        <w:t xml:space="preserve"> </w:t>
      </w:r>
      <w:r>
        <w:t xml:space="preserve">(penalidade)</w:t>
      </w:r>
      <w:r>
        <w:t xml:space="preserve"> </w:t>
      </w:r>
      <w:r>
        <w:rPr>
          <w:b/>
          <w:bCs/>
        </w:rPr>
        <w:t xml:space="preserve">+ € 100,00</w:t>
      </w:r>
      <w:r>
        <w:t xml:space="preserve"> </w:t>
      </w:r>
      <w:r>
        <w:t xml:space="preserve">(juros) =</w:t>
      </w:r>
      <w:r>
        <w:t xml:space="preserve"> </w:t>
      </w:r>
      <w:r>
        <w:rPr>
          <w:b/>
          <w:bCs/>
        </w:rPr>
        <w:t xml:space="preserve">€ 20 ? ?</w:t>
      </w:r>
      <w:r>
        <w:t xml:space="preserve"> </w:t>
      </w:r>
      <w:r>
        <w:t xml:space="preserve">(valor final a ser atualizado até a data da sentença).</w:t>
      </w:r>
    </w:p>
    <w:bookmarkEnd w:id="15"/>
    <w:bookmarkStart w:id="16" w:name="iv.-pedido"/>
    <w:p>
      <w:pPr>
        <w:pStyle w:val="Heading4"/>
      </w:pPr>
      <w:r>
        <w:rPr>
          <w:b/>
          <w:bCs/>
        </w:rPr>
        <w:t xml:space="preserve">IV. Pedido</w:t>
      </w:r>
    </w:p>
    <w:p>
      <w:pPr>
        <w:pStyle w:val="FirstParagraph"/>
      </w:pPr>
      <w:r>
        <w:t xml:space="preserve">Em face do exposto, requer a Vossa Excelência que se digne a: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Declarar a caducidade</w:t>
      </w:r>
      <w:r>
        <w:t xml:space="preserve"> </w:t>
      </w:r>
      <w:r>
        <w:t xml:space="preserve">do contrato de arrendamento comercial celebrado entre as partes, nos termos do art.º 1098.º do Código Civil;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Ordenar o despejo</w:t>
      </w:r>
      <w:r>
        <w:t xml:space="preserve"> </w:t>
      </w:r>
      <w:r>
        <w:t xml:space="preserve">do Réu e de todos os seus bens do imóvel sito na Rua da Prata, n.º 34, 1.º Dt., Lisboa, com a fixação de prazo razoável para a desocupação, nos termos do art.º 562.º do CPC;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Condenar o Réu</w:t>
      </w:r>
      <w:r>
        <w:t xml:space="preserve"> </w:t>
      </w:r>
      <w:r>
        <w:t xml:space="preserve">ao pagamento da</w:t>
      </w:r>
      <w:r>
        <w:t xml:space="preserve"> </w:t>
      </w:r>
      <w:r>
        <w:rPr>
          <w:b/>
          <w:bCs/>
        </w:rPr>
        <w:t xml:space="preserve">penalidade por atraso</w:t>
      </w:r>
      <w:r>
        <w:t xml:space="preserve"> </w:t>
      </w:r>
      <w:r>
        <w:t xml:space="preserve">de</w:t>
      </w:r>
      <w:r>
        <w:t xml:space="preserve"> </w:t>
      </w:r>
      <w:r>
        <w:rPr>
          <w:b/>
          <w:bCs/>
        </w:rPr>
        <w:t xml:space="preserve">€ 400,00 (quatrocentos euros)</w:t>
      </w:r>
      <w:r>
        <w:t xml:space="preserve">, nos termos da cláusula 7.º do contrato de arrendamento e do art.º 1048.º do Código Civil;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Condenar o Réu</w:t>
      </w:r>
      <w:r>
        <w:t xml:space="preserve"> </w:t>
      </w:r>
      <w:r>
        <w:t xml:space="preserve">ao pagamento das</w:t>
      </w:r>
      <w:r>
        <w:t xml:space="preserve"> </w:t>
      </w:r>
      <w:r>
        <w:rPr>
          <w:b/>
          <w:bCs/>
        </w:rPr>
        <w:t xml:space="preserve">rendas vencidas</w:t>
      </w:r>
      <w:r>
        <w:t xml:space="preserve">, totalizando</w:t>
      </w:r>
      <w:r>
        <w:t xml:space="preserve"> </w:t>
      </w:r>
      <w:r>
        <w:rPr>
          <w:b/>
          <w:bCs/>
        </w:rPr>
        <w:t xml:space="preserve">€ 20 000,00 (vinte mil euros)</w:t>
      </w:r>
      <w:r>
        <w:t xml:space="preserve">, acrescidas dos</w:t>
      </w:r>
      <w:r>
        <w:t xml:space="preserve"> </w:t>
      </w:r>
      <w:r>
        <w:rPr>
          <w:b/>
          <w:bCs/>
        </w:rPr>
        <w:t xml:space="preserve">juros de mora</w:t>
      </w:r>
      <w:r>
        <w:t xml:space="preserve"> </w:t>
      </w:r>
      <w:r>
        <w:t xml:space="preserve">à taxa legal de 0,5 % ao mês, desde a data de vencimento de cada prestação até ao efetivo pagamento, totalizando</w:t>
      </w:r>
      <w:r>
        <w:t xml:space="preserve"> </w:t>
      </w:r>
      <w:r>
        <w:rPr>
          <w:b/>
          <w:bCs/>
        </w:rPr>
        <w:t xml:space="preserve">€ 100,00 (cem euros)</w:t>
      </w:r>
      <w:r>
        <w:t xml:space="preserve"> </w:t>
      </w:r>
      <w:r>
        <w:t xml:space="preserve">até a presente data;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Condenar o Réu</w:t>
      </w:r>
      <w:r>
        <w:t xml:space="preserve"> </w:t>
      </w:r>
      <w:r>
        <w:t xml:space="preserve">ao pagamento das</w:t>
      </w:r>
      <w:r>
        <w:t xml:space="preserve"> </w:t>
      </w:r>
      <w:r>
        <w:rPr>
          <w:b/>
          <w:bCs/>
        </w:rPr>
        <w:t xml:space="preserve">custas processuais</w:t>
      </w:r>
      <w:r>
        <w:t xml:space="preserve"> </w:t>
      </w:r>
      <w:r>
        <w:t xml:space="preserve">e dos</w:t>
      </w:r>
      <w:r>
        <w:t xml:space="preserve"> </w:t>
      </w:r>
      <w:r>
        <w:rPr>
          <w:b/>
          <w:bCs/>
        </w:rPr>
        <w:t xml:space="preserve">honorários de advogado</w:t>
      </w:r>
      <w:r>
        <w:t xml:space="preserve"> </w:t>
      </w:r>
      <w:r>
        <w:t xml:space="preserve">da Requerente, nos termos do art.º 85.º do CPC, a fixar por Vossa Excelência;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Determinar a prática de todas as diligências necessárias</w:t>
      </w:r>
      <w:r>
        <w:t xml:space="preserve"> </w:t>
      </w:r>
      <w:r>
        <w:t xml:space="preserve">à efetiva execução da presente decisão, nomeadamente a expedição de mandado de despejo e a notificação do Réu para desocupação do imóvel;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Produzir, desde já,</w:t>
      </w:r>
      <w:r>
        <w:t xml:space="preserve"> </w:t>
      </w:r>
      <w:r>
        <w:t xml:space="preserve">os documentos anexos (cópia do contrato de arrendamento, notificações enviadas, extratos bancários, cálculo detalhado da dívida e da penalidade).</w:t>
      </w:r>
    </w:p>
    <w:bookmarkEnd w:id="16"/>
    <w:bookmarkStart w:id="17" w:name="v.-provas"/>
    <w:p>
      <w:pPr>
        <w:pStyle w:val="Heading4"/>
      </w:pPr>
      <w:r>
        <w:rPr>
          <w:b/>
          <w:bCs/>
        </w:rPr>
        <w:t xml:space="preserve">V. Provas</w:t>
      </w:r>
    </w:p>
    <w:p>
      <w:pPr>
        <w:pStyle w:val="FirstParagraph"/>
      </w:pPr>
      <w:r>
        <w:t xml:space="preserve">A Requerente pretende provar o alegado, para o efeito, pelos seguintes meios de prova: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4560"/>
        <w:gridCol w:w="33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Meio de Prova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Objetivo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Documental</w:t>
            </w:r>
            <w:r>
              <w:t xml:space="preserve"> </w:t>
            </w:r>
            <w:r>
              <w:t xml:space="preserve">– contrato de arrendamento comercial, notificações enviadas ao Réu, extratos bancários da conta da Requerente, cálculo da dívida e da penalidade.</w:t>
            </w:r>
          </w:p>
        </w:tc>
        <w:tc>
          <w:tcPr/>
          <w:p>
            <w:pPr>
              <w:pStyle w:val="Compact"/>
            </w:pPr>
            <w:r>
              <w:t xml:space="preserve">Demonstrar a existência do contrato, o incumprimento das obrigações de pagamento e a notificação prévia.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Testemunhal</w:t>
            </w:r>
            <w:r>
              <w:t xml:space="preserve"> </w:t>
            </w:r>
            <w:r>
              <w:t xml:space="preserve">– depoimento de Sr. António Ramos, funcionário da Requerente, que acompanhou as tentativas de contacto com o Réu.</w:t>
            </w:r>
          </w:p>
        </w:tc>
        <w:tc>
          <w:tcPr/>
          <w:p>
            <w:pPr>
              <w:pStyle w:val="Compact"/>
            </w:pPr>
            <w:r>
              <w:t xml:space="preserve">Corroborar a tentativa de resolução amigável e a inexistência de pagamento.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Pericial</w:t>
            </w:r>
            <w:r>
              <w:t xml:space="preserve"> </w:t>
            </w:r>
            <w:r>
              <w:t xml:space="preserve">– eventual avaliação pericial das obras realizadas pelo Réu sem autorização, caso Vossa Excelência entenda pertinente.</w:t>
            </w:r>
          </w:p>
        </w:tc>
        <w:tc>
          <w:tcPr/>
          <w:p>
            <w:pPr>
              <w:pStyle w:val="Compact"/>
            </w:pPr>
            <w:r>
              <w:t xml:space="preserve">Quantificar os prejuízos materiais decorrentes das intervenções não autorizadas.</w:t>
            </w:r>
          </w:p>
        </w:tc>
      </w:tr>
    </w:tbl>
    <w:bookmarkEnd w:id="17"/>
    <w:bookmarkStart w:id="18" w:name="vi.-valor-da-causa"/>
    <w:p>
      <w:pPr>
        <w:pStyle w:val="Heading4"/>
      </w:pPr>
      <w:r>
        <w:rPr>
          <w:b/>
          <w:bCs/>
        </w:rPr>
        <w:t xml:space="preserve">VI. Valor da Causa</w:t>
      </w:r>
    </w:p>
    <w:p>
      <w:pPr>
        <w:pStyle w:val="FirstParagraph"/>
      </w:pPr>
      <w:r>
        <w:t xml:space="preserve">Para efeitos de competência e de custas, atribui‑se à presente ação o valor de</w:t>
      </w:r>
      <w:r>
        <w:t xml:space="preserve"> </w:t>
      </w:r>
      <w:r>
        <w:rPr>
          <w:b/>
          <w:bCs/>
        </w:rPr>
        <w:t xml:space="preserve">€ 20 500,00 (vinte mil e quinhentos euros)</w:t>
      </w:r>
      <w:r>
        <w:t xml:space="preserve">, correspondente à soma das rendas em dívida, da penalidade e dos juros de mora, nos termos do art.º 292.º do CPC.</w:t>
      </w:r>
    </w:p>
    <w:bookmarkEnd w:id="18"/>
    <w:bookmarkStart w:id="19" w:name="vii.-termos-em-que"/>
    <w:p>
      <w:pPr>
        <w:pStyle w:val="Heading4"/>
      </w:pPr>
      <w:r>
        <w:rPr>
          <w:b/>
          <w:bCs/>
        </w:rPr>
        <w:t xml:space="preserve">VII. Termos em que,</w:t>
      </w:r>
    </w:p>
    <w:p>
      <w:pPr>
        <w:pStyle w:val="FirstParagraph"/>
      </w:pPr>
      <w:r>
        <w:t xml:space="preserve">Pede deferimento.</w:t>
      </w:r>
    </w:p>
    <w:p>
      <w:pPr>
        <w:pStyle w:val="BodyText"/>
      </w:pPr>
      <w:r>
        <w:t xml:space="preserve">Lisboa,</w:t>
      </w:r>
      <w:r>
        <w:t xml:space="preserve"> </w:t>
      </w:r>
      <w:r>
        <w:rPr>
          <w:b/>
          <w:bCs/>
        </w:rPr>
        <w:t xml:space="preserve">22 de fevereiro de 2026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Dr. Ana Martins</w:t>
      </w:r>
      <w:r>
        <w:br/>
      </w:r>
      <w:r>
        <w:t xml:space="preserve">OAB/Portugal n.º 12345</w:t>
      </w:r>
    </w:p>
    <w:p>
      <w:pPr>
        <w:pStyle w:val="BodyText"/>
      </w:pPr>
      <w:r>
        <w:rPr>
          <w:b/>
          <w:bCs/>
        </w:rPr>
        <w:t xml:space="preserve">Dr. Luís Pereira</w:t>
      </w:r>
      <w:r>
        <w:br/>
      </w:r>
      <w:r>
        <w:t xml:space="preserve">OAB/Portugal n.º 67890</w:t>
      </w:r>
    </w:p>
    <w:p>
      <w:pPr>
        <w:pStyle w:val="BodyText"/>
      </w:pPr>
      <w:r>
        <w:rPr>
          <w:i/>
          <w:iCs/>
        </w:rPr>
        <w:t xml:space="preserve">Advogados da Empresa de Arrendamento Comercial, Lda.</w:t>
      </w:r>
    </w:p>
    <w:bookmarkEnd w:id="19"/>
    <w:bookmarkEnd w:id="20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1"/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2026-02-22T19:19:51Z</dcterms:created>
  <dcterms:modified xsi:type="dcterms:W3CDTF">2026-02-22T19:19:51Z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